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F3" w:rsidRPr="00D63054" w:rsidRDefault="00EB5AF1" w:rsidP="004922B7">
      <w:pPr>
        <w:shd w:val="clear" w:color="auto" w:fill="BF8F00" w:themeFill="accent4" w:themeFillShade="BF"/>
        <w:jc w:val="center"/>
        <w:rPr>
          <w:rFonts w:ascii="Sylfaen" w:hAnsi="Sylfaen" w:cs="Arial"/>
          <w:color w:val="FFFFFF" w:themeColor="background1"/>
        </w:rPr>
      </w:pPr>
      <w:proofErr w:type="spellStart"/>
      <w:r w:rsidRPr="00D63054">
        <w:rPr>
          <w:rFonts w:ascii="Sylfaen" w:hAnsi="Sylfaen" w:cs="Arial"/>
          <w:color w:val="FFFFFF" w:themeColor="background1"/>
        </w:rPr>
        <w:t>Aramazd</w:t>
      </w:r>
      <w:proofErr w:type="spellEnd"/>
      <w:r w:rsidRPr="00D63054">
        <w:rPr>
          <w:rFonts w:ascii="Sylfaen" w:hAnsi="Sylfaen" w:cs="Arial"/>
          <w:color w:val="FFFFFF" w:themeColor="background1"/>
        </w:rPr>
        <w:t>: For Community, With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922B7" w:rsidRPr="00207479" w:rsidTr="004922B7">
        <w:tc>
          <w:tcPr>
            <w:tcW w:w="3775" w:type="dxa"/>
          </w:tcPr>
          <w:p w:rsidR="004922B7" w:rsidRPr="00207479" w:rsidRDefault="00207479" w:rsidP="000E3F0D">
            <w:pPr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Place </w:t>
            </w:r>
          </w:p>
        </w:tc>
        <w:tc>
          <w:tcPr>
            <w:tcW w:w="5575" w:type="dxa"/>
          </w:tcPr>
          <w:p w:rsidR="004922B7" w:rsidRPr="00207479" w:rsidRDefault="00207479" w:rsidP="000E3F0D">
            <w:pPr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51 communities in </w:t>
            </w:r>
            <w:r w:rsidR="00C6603B">
              <w:rPr>
                <w:rFonts w:ascii="Sylfaen" w:hAnsi="Sylfaen" w:cs="Arial"/>
              </w:rPr>
              <w:t>Gegharkunik</w:t>
            </w:r>
            <w:r>
              <w:rPr>
                <w:rFonts w:ascii="Sylfaen" w:hAnsi="Sylfaen" w:cs="Arial"/>
              </w:rPr>
              <w:t>, Lori and Shirak regions of the RA</w:t>
            </w:r>
          </w:p>
        </w:tc>
      </w:tr>
      <w:tr w:rsidR="004922B7" w:rsidRPr="00207479" w:rsidTr="004922B7">
        <w:tc>
          <w:tcPr>
            <w:tcW w:w="3775" w:type="dxa"/>
          </w:tcPr>
          <w:p w:rsidR="004922B7" w:rsidRPr="00207479" w:rsidRDefault="00207479" w:rsidP="000E3F0D">
            <w:pPr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Direct Beneficiaries </w:t>
            </w:r>
          </w:p>
        </w:tc>
        <w:tc>
          <w:tcPr>
            <w:tcW w:w="5575" w:type="dxa"/>
          </w:tcPr>
          <w:p w:rsidR="004922B7" w:rsidRPr="00207479" w:rsidRDefault="004922B7" w:rsidP="000E3F0D">
            <w:pPr>
              <w:jc w:val="both"/>
              <w:rPr>
                <w:rFonts w:ascii="Sylfaen" w:hAnsi="Sylfaen" w:cs="Arial"/>
              </w:rPr>
            </w:pPr>
            <w:r w:rsidRPr="00207479">
              <w:rPr>
                <w:rFonts w:ascii="Sylfaen" w:hAnsi="Sylfaen" w:cs="Arial"/>
              </w:rPr>
              <w:t>579</w:t>
            </w:r>
          </w:p>
        </w:tc>
      </w:tr>
      <w:tr w:rsidR="004922B7" w:rsidRPr="00207479" w:rsidTr="004922B7">
        <w:tc>
          <w:tcPr>
            <w:tcW w:w="3775" w:type="dxa"/>
          </w:tcPr>
          <w:p w:rsidR="004922B7" w:rsidRPr="00207479" w:rsidRDefault="00207479" w:rsidP="000E3F0D">
            <w:pPr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Project Duration</w:t>
            </w:r>
          </w:p>
        </w:tc>
        <w:tc>
          <w:tcPr>
            <w:tcW w:w="5575" w:type="dxa"/>
          </w:tcPr>
          <w:p w:rsidR="004922B7" w:rsidRPr="00207479" w:rsidRDefault="00207479" w:rsidP="00207479">
            <w:pPr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3 years </w:t>
            </w:r>
            <w:r w:rsidRPr="00207479">
              <w:rPr>
                <w:rFonts w:ascii="Sylfaen" w:hAnsi="Sylfaen" w:cs="Arial"/>
              </w:rPr>
              <w:t xml:space="preserve"> </w:t>
            </w:r>
            <w:r w:rsidR="004922B7" w:rsidRPr="00207479">
              <w:rPr>
                <w:rFonts w:ascii="Sylfaen" w:hAnsi="Sylfaen" w:cs="Arial"/>
              </w:rPr>
              <w:t>՝ 01.04.2015 -30.09.2018</w:t>
            </w:r>
          </w:p>
        </w:tc>
      </w:tr>
    </w:tbl>
    <w:p w:rsidR="000E3F0D" w:rsidRPr="00207479" w:rsidRDefault="000E3F0D" w:rsidP="000E3F0D">
      <w:pPr>
        <w:pStyle w:val="ListParagraph"/>
        <w:jc w:val="both"/>
        <w:rPr>
          <w:rFonts w:ascii="Sylfaen" w:hAnsi="Sylfaen" w:cs="Arial"/>
        </w:rPr>
      </w:pPr>
    </w:p>
    <w:p w:rsidR="00207479" w:rsidRPr="00D63054" w:rsidRDefault="00207479" w:rsidP="004922B7">
      <w:pPr>
        <w:pStyle w:val="ListParagraph"/>
        <w:jc w:val="center"/>
        <w:rPr>
          <w:rFonts w:ascii="Sylfaen" w:hAnsi="Sylfaen" w:cs="Arial"/>
          <w:sz w:val="28"/>
          <w:szCs w:val="28"/>
        </w:rPr>
      </w:pPr>
      <w:r w:rsidRPr="00D63054">
        <w:rPr>
          <w:rFonts w:ascii="Sylfaen" w:hAnsi="Sylfaen" w:cs="Arial"/>
          <w:sz w:val="28"/>
          <w:szCs w:val="28"/>
        </w:rPr>
        <w:t>Main directions of the project</w:t>
      </w:r>
    </w:p>
    <w:p w:rsidR="004922B7" w:rsidRPr="00207479" w:rsidRDefault="004922B7" w:rsidP="000E3F0D">
      <w:pPr>
        <w:pStyle w:val="ListParagraph"/>
        <w:jc w:val="both"/>
        <w:rPr>
          <w:rFonts w:ascii="Sylfaen" w:hAnsi="Sylfaen" w:cs="Arial"/>
        </w:rPr>
      </w:pPr>
    </w:p>
    <w:p w:rsidR="004922B7" w:rsidRPr="00207479" w:rsidRDefault="00207479" w:rsidP="004922B7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CSOs capacity building</w:t>
      </w:r>
    </w:p>
    <w:p w:rsidR="00207479" w:rsidRPr="00F555F1" w:rsidRDefault="00207479" w:rsidP="00F555F1">
      <w:pPr>
        <w:pStyle w:val="ListParagraph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In the frame of the project 18 CSOs from Gegh</w:t>
      </w:r>
      <w:r w:rsidR="00AF348E">
        <w:rPr>
          <w:rFonts w:ascii="Sylfaen" w:hAnsi="Sylfaen" w:cs="Arial"/>
        </w:rPr>
        <w:t>arkunik, Lori and Shirak Provinces</w:t>
      </w:r>
      <w:r>
        <w:rPr>
          <w:rFonts w:ascii="Sylfaen" w:hAnsi="Sylfaen" w:cs="Arial"/>
        </w:rPr>
        <w:t xml:space="preserve"> of the RA have gained support – have </w:t>
      </w:r>
      <w:r w:rsidR="00F555F1">
        <w:rPr>
          <w:rFonts w:ascii="Sylfaen" w:hAnsi="Sylfaen" w:cs="Arial"/>
        </w:rPr>
        <w:t xml:space="preserve">participated </w:t>
      </w:r>
      <w:r w:rsidR="00DC05CE">
        <w:rPr>
          <w:rFonts w:ascii="Sylfaen" w:hAnsi="Sylfaen" w:cs="Arial"/>
        </w:rPr>
        <w:t>in</w:t>
      </w:r>
      <w:r w:rsidR="00F555F1">
        <w:rPr>
          <w:rFonts w:ascii="Sylfaen" w:hAnsi="Sylfaen" w:cs="Arial"/>
        </w:rPr>
        <w:t xml:space="preserve"> the orientation seminars,</w:t>
      </w:r>
      <w:r w:rsidR="00DC05CE">
        <w:rPr>
          <w:rFonts w:ascii="Sylfaen" w:hAnsi="Sylfaen" w:cs="Arial"/>
        </w:rPr>
        <w:t xml:space="preserve"> Group and individual consultations, 11 CSOs have been gra</w:t>
      </w:r>
      <w:r w:rsidR="00D63054">
        <w:rPr>
          <w:rFonts w:ascii="Sylfaen" w:hAnsi="Sylfaen" w:cs="Arial"/>
        </w:rPr>
        <w:t>n</w:t>
      </w:r>
      <w:r w:rsidR="00DC05CE">
        <w:rPr>
          <w:rFonts w:ascii="Sylfaen" w:hAnsi="Sylfaen" w:cs="Arial"/>
        </w:rPr>
        <w:t>ted till 6000Euros.</w:t>
      </w:r>
      <w:r w:rsidR="00F555F1">
        <w:rPr>
          <w:rFonts w:ascii="Sylfaen" w:hAnsi="Sylfaen" w:cs="Arial"/>
        </w:rPr>
        <w:t xml:space="preserve"> </w:t>
      </w:r>
      <w:r w:rsidR="00F555F1" w:rsidRPr="00F555F1">
        <w:rPr>
          <w:rFonts w:ascii="Sylfaen" w:hAnsi="Sylfaen" w:cs="Arial"/>
        </w:rPr>
        <w:t xml:space="preserve"> </w:t>
      </w:r>
    </w:p>
    <w:p w:rsidR="004922B7" w:rsidRPr="00207479" w:rsidRDefault="004922B7" w:rsidP="000E3F0D">
      <w:pPr>
        <w:pStyle w:val="ListParagraph"/>
        <w:jc w:val="both"/>
        <w:rPr>
          <w:rFonts w:ascii="Sylfaen" w:hAnsi="Sylfaen" w:cs="Arial"/>
        </w:rPr>
      </w:pPr>
    </w:p>
    <w:p w:rsidR="000E3F0D" w:rsidRPr="00207479" w:rsidRDefault="00DC05CE" w:rsidP="00C63EC9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Communities needs assessment </w:t>
      </w:r>
    </w:p>
    <w:p w:rsidR="00DC05CE" w:rsidRPr="00207479" w:rsidRDefault="00DC05CE" w:rsidP="00C63EC9">
      <w:pPr>
        <w:pStyle w:val="ListParagraph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Have been implemented </w:t>
      </w:r>
      <w:r w:rsidR="00C6603B">
        <w:rPr>
          <w:rFonts w:ascii="Sylfaen" w:hAnsi="Sylfaen" w:cs="Arial"/>
        </w:rPr>
        <w:t>communities needs assessment in 35 communities of the Geg</w:t>
      </w:r>
      <w:r w:rsidR="00AF348E">
        <w:rPr>
          <w:rFonts w:ascii="Sylfaen" w:hAnsi="Sylfaen" w:cs="Arial"/>
        </w:rPr>
        <w:t>harkunik, Lori and Shirak Province</w:t>
      </w:r>
      <w:r w:rsidR="00C6603B">
        <w:rPr>
          <w:rFonts w:ascii="Sylfaen" w:hAnsi="Sylfaen" w:cs="Arial"/>
        </w:rPr>
        <w:t xml:space="preserve">s of the RA by the local CSOs </w:t>
      </w:r>
      <w:r w:rsidR="00D63054">
        <w:rPr>
          <w:rFonts w:ascii="Sylfaen" w:hAnsi="Sylfaen" w:cs="Arial"/>
        </w:rPr>
        <w:t>volunteer</w:t>
      </w:r>
      <w:r w:rsidR="005719C1">
        <w:rPr>
          <w:rFonts w:ascii="Sylfaen" w:hAnsi="Sylfaen" w:cs="Arial"/>
        </w:rPr>
        <w:t xml:space="preserve"> part</w:t>
      </w:r>
      <w:r w:rsidR="00D63054">
        <w:rPr>
          <w:rFonts w:ascii="Sylfaen" w:hAnsi="Sylfaen" w:cs="Arial"/>
        </w:rPr>
        <w:t>.</w:t>
      </w:r>
    </w:p>
    <w:p w:rsidR="00C63EC9" w:rsidRPr="00207479" w:rsidRDefault="00C63EC9" w:rsidP="00C63EC9">
      <w:pPr>
        <w:pStyle w:val="ListParagraph"/>
        <w:jc w:val="both"/>
        <w:rPr>
          <w:rFonts w:ascii="Sylfaen" w:hAnsi="Sylfaen" w:cs="Arial"/>
        </w:rPr>
      </w:pPr>
    </w:p>
    <w:p w:rsidR="000E3F0D" w:rsidRPr="00207479" w:rsidRDefault="005719C1" w:rsidP="00C63EC9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Projects implementation aimed to solve the needs of the communities</w:t>
      </w:r>
    </w:p>
    <w:p w:rsidR="005719C1" w:rsidRPr="00207479" w:rsidRDefault="005719C1" w:rsidP="00C63EC9">
      <w:pPr>
        <w:pStyle w:val="ListParagraph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During 2016 there have been approved and financed 16 small</w:t>
      </w:r>
      <w:r w:rsidR="00AF348E">
        <w:rPr>
          <w:rFonts w:ascii="Sylfaen" w:hAnsi="Sylfaen" w:cs="Arial"/>
        </w:rPr>
        <w:t>-</w:t>
      </w:r>
      <w:r>
        <w:rPr>
          <w:rFonts w:ascii="Sylfaen" w:hAnsi="Sylfaen" w:cs="Arial"/>
        </w:rPr>
        <w:t xml:space="preserve"> scale projects with a budget of 61.518.386</w:t>
      </w:r>
      <w:r w:rsidR="00AF348E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A</w:t>
      </w:r>
      <w:r w:rsidR="00880E5C">
        <w:rPr>
          <w:rFonts w:ascii="Sylfaen" w:hAnsi="Sylfaen" w:cs="Arial"/>
        </w:rPr>
        <w:t>M</w:t>
      </w:r>
      <w:r>
        <w:rPr>
          <w:rFonts w:ascii="Sylfaen" w:hAnsi="Sylfaen" w:cs="Arial"/>
        </w:rPr>
        <w:t>D, from this 45.358.886AMD have been the grant by the NGO (73.7</w:t>
      </w:r>
      <w:proofErr w:type="gramStart"/>
      <w:r>
        <w:rPr>
          <w:rFonts w:ascii="Sylfaen" w:hAnsi="Sylfaen" w:cs="Arial"/>
        </w:rPr>
        <w:t>%),  15.094.500</w:t>
      </w:r>
      <w:proofErr w:type="gramEnd"/>
      <w:r>
        <w:rPr>
          <w:rFonts w:ascii="Sylfaen" w:hAnsi="Sylfaen" w:cs="Arial"/>
        </w:rPr>
        <w:t xml:space="preserve"> AMD CSOs input (24.5%), and 1.065.000 have been inputs of other organizations (1.7%). </w:t>
      </w:r>
    </w:p>
    <w:p w:rsidR="00C63EC9" w:rsidRPr="00207479" w:rsidRDefault="00C63EC9" w:rsidP="00C63EC9">
      <w:pPr>
        <w:pStyle w:val="ListParagraph"/>
        <w:jc w:val="both"/>
        <w:rPr>
          <w:rFonts w:ascii="Sylfaen" w:hAnsi="Sylfaen" w:cs="Arial"/>
        </w:rPr>
      </w:pPr>
    </w:p>
    <w:p w:rsidR="00C63EC9" w:rsidRPr="00207479" w:rsidRDefault="00C63EC9" w:rsidP="00C63EC9">
      <w:pPr>
        <w:pStyle w:val="ListParagraph"/>
        <w:jc w:val="both"/>
        <w:rPr>
          <w:rFonts w:ascii="Sylfaen" w:hAnsi="Sylfaen" w:cs="Arial"/>
        </w:rPr>
      </w:pPr>
    </w:p>
    <w:p w:rsidR="00C63EC9" w:rsidRPr="00207479" w:rsidRDefault="00D63054" w:rsidP="00C63EC9">
      <w:pPr>
        <w:pStyle w:val="ListParagraph"/>
        <w:jc w:val="both"/>
        <w:rPr>
          <w:rFonts w:ascii="Sylfaen" w:hAnsi="Sylfaen" w:cs="Arial"/>
        </w:rPr>
      </w:pPr>
      <w:r>
        <w:rPr>
          <w:noProof/>
        </w:rPr>
        <w:drawing>
          <wp:inline distT="0" distB="0" distL="0" distR="0" wp14:anchorId="3F8B1D7F" wp14:editId="6D28E67B">
            <wp:extent cx="5500688" cy="2881314"/>
            <wp:effectExtent l="133350" t="95250" r="138430" b="908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4CF6" w:rsidRPr="00207479" w:rsidRDefault="00B44CF6" w:rsidP="00C63EC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lastRenderedPageBreak/>
        <w:t>The projects are aimed to solve the prior needs of the communities:</w:t>
      </w:r>
    </w:p>
    <w:p w:rsidR="00B44CF6" w:rsidRPr="00207479" w:rsidRDefault="00B44CF6" w:rsidP="00C63EC9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Reconstructions and improvements of the community infrastructures (Community illumination, playgrounds, </w:t>
      </w:r>
      <w:r w:rsidR="0098701B">
        <w:rPr>
          <w:rFonts w:ascii="Sylfaen" w:hAnsi="Sylfaen" w:cs="Arial"/>
        </w:rPr>
        <w:t>kindergarten water pipe and electricity constructions</w:t>
      </w:r>
      <w:r>
        <w:rPr>
          <w:rFonts w:ascii="Sylfaen" w:hAnsi="Sylfaen" w:cs="Arial"/>
        </w:rPr>
        <w:t>)</w:t>
      </w:r>
    </w:p>
    <w:p w:rsidR="00BA5803" w:rsidRPr="00207479" w:rsidRDefault="00BA5803" w:rsidP="00C63EC9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Promotion of agriculture and agro products by </w:t>
      </w:r>
      <w:r w:rsidR="008E44FB">
        <w:rPr>
          <w:rFonts w:ascii="Sylfaen" w:hAnsi="Sylfaen" w:cs="Arial"/>
        </w:rPr>
        <w:t>the investment of the innovative technologies (establishment of greenhouses, innovative demonstrative</w:t>
      </w:r>
      <w:r w:rsidR="0055112D">
        <w:rPr>
          <w:rFonts w:ascii="Sylfaen" w:hAnsi="Sylfaen" w:cs="Arial"/>
        </w:rPr>
        <w:t xml:space="preserve"> production units</w:t>
      </w:r>
      <w:r w:rsidR="00913D26">
        <w:rPr>
          <w:rFonts w:ascii="Sylfaen" w:hAnsi="Sylfaen" w:cs="Arial"/>
        </w:rPr>
        <w:t>, dryers’ establishment</w:t>
      </w:r>
      <w:r w:rsidR="0055112D">
        <w:rPr>
          <w:rFonts w:ascii="Sylfaen" w:hAnsi="Sylfaen" w:cs="Arial"/>
        </w:rPr>
        <w:t>, formation of agricultural cooperatives</w:t>
      </w:r>
      <w:r w:rsidR="008E44FB">
        <w:rPr>
          <w:rFonts w:ascii="Sylfaen" w:hAnsi="Sylfaen" w:cs="Arial"/>
        </w:rPr>
        <w:t>)</w:t>
      </w:r>
    </w:p>
    <w:p w:rsidR="0055112D" w:rsidRPr="00207479" w:rsidRDefault="0055112D" w:rsidP="00C63EC9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Agro tourism development – Community B&amp;Bs capacity development, service quality improvement, business connections</w:t>
      </w:r>
    </w:p>
    <w:p w:rsidR="0055112D" w:rsidRPr="00207479" w:rsidRDefault="0055112D" w:rsidP="00C63EC9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Youth </w:t>
      </w:r>
      <w:r w:rsidR="00A068AA">
        <w:rPr>
          <w:rFonts w:ascii="Sylfaen" w:hAnsi="Sylfaen" w:cs="Arial"/>
        </w:rPr>
        <w:t>empowerment in the communities, Youth initiatives promotion</w:t>
      </w:r>
    </w:p>
    <w:p w:rsidR="00A068AA" w:rsidRPr="00207479" w:rsidRDefault="00A068AA" w:rsidP="00C63EC9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Small enterprises development</w:t>
      </w:r>
    </w:p>
    <w:p w:rsidR="00A068AA" w:rsidRPr="00207479" w:rsidRDefault="00A068AA" w:rsidP="004922B7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Professional learning </w:t>
      </w:r>
    </w:p>
    <w:p w:rsidR="003E1786" w:rsidRPr="00207479" w:rsidRDefault="003E1786" w:rsidP="003E1786">
      <w:pPr>
        <w:pStyle w:val="ListParagraph"/>
        <w:jc w:val="both"/>
        <w:rPr>
          <w:rFonts w:ascii="Sylfaen" w:hAnsi="Sylfaen" w:cs="Arial"/>
        </w:rPr>
      </w:pPr>
    </w:p>
    <w:p w:rsidR="00D02808" w:rsidRPr="00207479" w:rsidRDefault="00D02808" w:rsidP="003E1786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Community LSG Bodies’ action improvement by community monitoring mechanisms </w:t>
      </w:r>
    </w:p>
    <w:p w:rsidR="00A208BD" w:rsidRDefault="00A208BD" w:rsidP="003E1786">
      <w:pPr>
        <w:pStyle w:val="ListParagraph"/>
        <w:jc w:val="both"/>
        <w:rPr>
          <w:rFonts w:ascii="Sylfaen" w:hAnsi="Sylfaen" w:cs="Arial"/>
        </w:rPr>
      </w:pPr>
    </w:p>
    <w:p w:rsidR="00D02808" w:rsidRDefault="00D02808" w:rsidP="003E1786">
      <w:pPr>
        <w:pStyle w:val="ListParagraph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In the 15 communities of the RA – </w:t>
      </w:r>
      <w:r w:rsidR="00880E5C">
        <w:rPr>
          <w:rFonts w:ascii="Sylfaen" w:hAnsi="Sylfaen" w:cs="Arial"/>
        </w:rPr>
        <w:t>Gegharkunik, Lori, Shirak Province</w:t>
      </w:r>
      <w:r>
        <w:rPr>
          <w:rFonts w:ascii="Sylfaen" w:hAnsi="Sylfaen" w:cs="Arial"/>
        </w:rPr>
        <w:t>s’ by the</w:t>
      </w:r>
      <w:r w:rsidR="0081427E">
        <w:rPr>
          <w:rFonts w:ascii="Sylfaen" w:hAnsi="Sylfaen" w:cs="Arial"/>
        </w:rPr>
        <w:t xml:space="preserve"> active</w:t>
      </w:r>
      <w:r>
        <w:rPr>
          <w:rFonts w:ascii="Sylfaen" w:hAnsi="Sylfaen" w:cs="Arial"/>
        </w:rPr>
        <w:t xml:space="preserve"> participation of the 3 </w:t>
      </w:r>
      <w:r w:rsidR="0081427E">
        <w:rPr>
          <w:rFonts w:ascii="Sylfaen" w:hAnsi="Sylfaen" w:cs="Arial"/>
        </w:rPr>
        <w:t xml:space="preserve">local CSOs is being implemented Community budget transparency and civic participation monitoring in frame of </w:t>
      </w:r>
      <w:r w:rsidR="00603A14">
        <w:rPr>
          <w:rFonts w:ascii="Sylfaen" w:hAnsi="Sylfaen" w:cs="Arial"/>
        </w:rPr>
        <w:t xml:space="preserve">a </w:t>
      </w:r>
      <w:r w:rsidR="0081427E">
        <w:rPr>
          <w:rFonts w:ascii="Sylfaen" w:hAnsi="Sylfaen" w:cs="Arial"/>
        </w:rPr>
        <w:t>4</w:t>
      </w:r>
      <w:r w:rsidR="00603A14">
        <w:rPr>
          <w:rFonts w:ascii="Sylfaen" w:hAnsi="Sylfaen" w:cs="Arial"/>
        </w:rPr>
        <w:t>-</w:t>
      </w:r>
      <w:r w:rsidR="0081427E">
        <w:rPr>
          <w:rFonts w:ascii="Sylfaen" w:hAnsi="Sylfaen" w:cs="Arial"/>
        </w:rPr>
        <w:t xml:space="preserve"> year community development plan. As a result</w:t>
      </w:r>
      <w:r w:rsidR="00603A14">
        <w:rPr>
          <w:rFonts w:ascii="Sylfaen" w:hAnsi="Sylfaen" w:cs="Arial"/>
        </w:rPr>
        <w:t>,</w:t>
      </w:r>
      <w:bookmarkStart w:id="0" w:name="_GoBack"/>
      <w:bookmarkEnd w:id="0"/>
      <w:r w:rsidR="0081427E">
        <w:rPr>
          <w:rFonts w:ascii="Sylfaen" w:hAnsi="Sylfaen" w:cs="Arial"/>
        </w:rPr>
        <w:t xml:space="preserve"> the overall reports and the regional reports</w:t>
      </w:r>
      <w:r w:rsidR="00A208BD">
        <w:rPr>
          <w:rFonts w:ascii="Sylfaen" w:hAnsi="Sylfaen" w:cs="Arial"/>
        </w:rPr>
        <w:t xml:space="preserve"> will be introduced to the community members, as well as there will be suggestions package for the reports. </w:t>
      </w:r>
    </w:p>
    <w:p w:rsidR="00D02808" w:rsidRPr="00D02808" w:rsidRDefault="00D02808" w:rsidP="00D02808">
      <w:pPr>
        <w:jc w:val="both"/>
        <w:rPr>
          <w:rFonts w:ascii="Sylfaen" w:hAnsi="Sylfaen" w:cs="Arial"/>
        </w:rPr>
      </w:pPr>
    </w:p>
    <w:p w:rsidR="003E1786" w:rsidRPr="00207479" w:rsidRDefault="003E1786" w:rsidP="003E1786">
      <w:pPr>
        <w:pStyle w:val="ListParagraph"/>
        <w:jc w:val="both"/>
        <w:rPr>
          <w:rFonts w:ascii="Sylfaen" w:hAnsi="Sylfaen" w:cs="Arial"/>
        </w:rPr>
      </w:pPr>
    </w:p>
    <w:p w:rsidR="00A208BD" w:rsidRPr="00207479" w:rsidRDefault="00A208BD" w:rsidP="00DF2CA9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Entrepreneurial initiatives’   encouragement in the communities  </w:t>
      </w:r>
    </w:p>
    <w:p w:rsidR="00A208BD" w:rsidRPr="00207479" w:rsidRDefault="00A208BD" w:rsidP="00DF2CA9">
      <w:pPr>
        <w:pStyle w:val="ListParagraph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In frame of the project there have been financed 3 group business initiatives: As a </w:t>
      </w:r>
      <w:proofErr w:type="gramStart"/>
      <w:r>
        <w:rPr>
          <w:rFonts w:ascii="Sylfaen" w:hAnsi="Sylfaen" w:cs="Arial"/>
        </w:rPr>
        <w:t>result</w:t>
      </w:r>
      <w:proofErr w:type="gramEnd"/>
      <w:r>
        <w:rPr>
          <w:rFonts w:ascii="Sylfaen" w:hAnsi="Sylfaen" w:cs="Arial"/>
        </w:rPr>
        <w:t xml:space="preserve"> there </w:t>
      </w:r>
      <w:r w:rsidR="00EB5AF1">
        <w:rPr>
          <w:rFonts w:ascii="Sylfaen" w:hAnsi="Sylfaen" w:cs="Arial"/>
        </w:rPr>
        <w:t>has been established Dryer’s production unit (</w:t>
      </w:r>
      <w:proofErr w:type="spellStart"/>
      <w:r w:rsidR="00EB5AF1">
        <w:rPr>
          <w:rFonts w:ascii="Sylfaen" w:hAnsi="Sylfaen" w:cs="Arial"/>
        </w:rPr>
        <w:t>Dprabak</w:t>
      </w:r>
      <w:proofErr w:type="spellEnd"/>
      <w:r w:rsidR="00EB5AF1">
        <w:rPr>
          <w:rFonts w:ascii="Sylfaen" w:hAnsi="Sylfaen" w:cs="Arial"/>
        </w:rPr>
        <w:t>, Gegharkun</w:t>
      </w:r>
      <w:r w:rsidR="00880E5C">
        <w:rPr>
          <w:rFonts w:ascii="Sylfaen" w:hAnsi="Sylfaen" w:cs="Arial"/>
        </w:rPr>
        <w:t>ik Province</w:t>
      </w:r>
      <w:r w:rsidR="00D63054">
        <w:rPr>
          <w:rFonts w:ascii="Sylfaen" w:hAnsi="Sylfaen" w:cs="Arial"/>
        </w:rPr>
        <w:t>), Cheese production (</w:t>
      </w:r>
      <w:proofErr w:type="spellStart"/>
      <w:r w:rsidR="00EB5AF1">
        <w:rPr>
          <w:rFonts w:ascii="Sylfaen" w:hAnsi="Sylfaen" w:cs="Arial"/>
        </w:rPr>
        <w:t>Tsaaghkut</w:t>
      </w:r>
      <w:proofErr w:type="spellEnd"/>
      <w:r w:rsidR="00EB5AF1">
        <w:rPr>
          <w:rFonts w:ascii="Sylfaen" w:hAnsi="Sylfaen" w:cs="Arial"/>
        </w:rPr>
        <w:t>, Shir</w:t>
      </w:r>
      <w:r w:rsidR="00880E5C">
        <w:rPr>
          <w:rFonts w:ascii="Sylfaen" w:hAnsi="Sylfaen" w:cs="Arial"/>
        </w:rPr>
        <w:t>ak Province</w:t>
      </w:r>
      <w:r w:rsidR="00EB5AF1">
        <w:rPr>
          <w:rFonts w:ascii="Sylfaen" w:hAnsi="Sylfaen" w:cs="Arial"/>
        </w:rPr>
        <w:t>), and Agricultural support and developmen</w:t>
      </w:r>
      <w:r w:rsidR="00880E5C">
        <w:rPr>
          <w:rFonts w:ascii="Sylfaen" w:hAnsi="Sylfaen" w:cs="Arial"/>
        </w:rPr>
        <w:t>t center (</w:t>
      </w:r>
      <w:proofErr w:type="spellStart"/>
      <w:r w:rsidR="00880E5C">
        <w:rPr>
          <w:rFonts w:ascii="Sylfaen" w:hAnsi="Sylfaen" w:cs="Arial"/>
        </w:rPr>
        <w:t>Arevatsag</w:t>
      </w:r>
      <w:proofErr w:type="spellEnd"/>
      <w:r w:rsidR="00880E5C">
        <w:rPr>
          <w:rFonts w:ascii="Sylfaen" w:hAnsi="Sylfaen" w:cs="Arial"/>
        </w:rPr>
        <w:t>, Lori Province</w:t>
      </w:r>
      <w:r w:rsidR="00EB5AF1">
        <w:rPr>
          <w:rFonts w:ascii="Sylfaen" w:hAnsi="Sylfaen" w:cs="Arial"/>
        </w:rPr>
        <w:t xml:space="preserve">). There are 17 businessmen involved in the business initiatives. </w:t>
      </w:r>
    </w:p>
    <w:sectPr w:rsidR="00A208BD" w:rsidRPr="0020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625"/>
    <w:multiLevelType w:val="hybridMultilevel"/>
    <w:tmpl w:val="0FE8A076"/>
    <w:lvl w:ilvl="0" w:tplc="D03AE4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D6154"/>
    <w:multiLevelType w:val="hybridMultilevel"/>
    <w:tmpl w:val="5CB63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92"/>
    <w:rsid w:val="000E3F0D"/>
    <w:rsid w:val="0012764A"/>
    <w:rsid w:val="00207479"/>
    <w:rsid w:val="00221FF3"/>
    <w:rsid w:val="002B5792"/>
    <w:rsid w:val="003E1786"/>
    <w:rsid w:val="004659CA"/>
    <w:rsid w:val="004922B7"/>
    <w:rsid w:val="0055112D"/>
    <w:rsid w:val="005719C1"/>
    <w:rsid w:val="00603A14"/>
    <w:rsid w:val="0061711A"/>
    <w:rsid w:val="0081427E"/>
    <w:rsid w:val="00880E5C"/>
    <w:rsid w:val="008E44FB"/>
    <w:rsid w:val="00913D26"/>
    <w:rsid w:val="0098701B"/>
    <w:rsid w:val="00A068AA"/>
    <w:rsid w:val="00A208BD"/>
    <w:rsid w:val="00AF348E"/>
    <w:rsid w:val="00B44CF6"/>
    <w:rsid w:val="00BA5803"/>
    <w:rsid w:val="00C63EC9"/>
    <w:rsid w:val="00C6603B"/>
    <w:rsid w:val="00D02808"/>
    <w:rsid w:val="00D63054"/>
    <w:rsid w:val="00DC05CE"/>
    <w:rsid w:val="00DF2CA9"/>
    <w:rsid w:val="00EB5AF1"/>
    <w:rsid w:val="00F555F1"/>
    <w:rsid w:val="00F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B71F"/>
  <w15:docId w15:val="{7CB26EC4-B702-423E-9E4D-AEF2CA82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0D"/>
    <w:pPr>
      <w:ind w:left="720"/>
      <w:contextualSpacing/>
    </w:pPr>
  </w:style>
  <w:style w:type="table" w:styleId="TableGrid">
    <w:name w:val="Table Grid"/>
    <w:basedOn w:val="TableNormal"/>
    <w:uiPriority w:val="39"/>
    <w:rsid w:val="0049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chiv\Zara\Aramazd\Aramazd_FCWC\Data%20base\Grant%20projects_general%20inf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Armenian" pitchFamily="18" charset="0"/>
              </a:rPr>
              <a:t>Grant projects</a:t>
            </a:r>
          </a:p>
          <a:p>
            <a:pPr>
              <a:defRPr/>
            </a:pPr>
            <a:endParaRPr lang="en-US" sz="1200">
              <a:latin typeface="Times Armeni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AF11-4594-B611-1070C63126CC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AF11-4594-B611-1070C63126CC}"/>
              </c:ext>
            </c:extLst>
          </c:dPt>
          <c:dPt>
            <c:idx val="2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AF11-4594-B611-1070C63126CC}"/>
              </c:ext>
            </c:extLst>
          </c:dPt>
          <c:dLbls>
            <c:dLbl>
              <c:idx val="0"/>
              <c:layout>
                <c:manualLayout>
                  <c:x val="3.9110231486982399E-3"/>
                  <c:y val="1.4882000704473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11-4594-B611-1070C63126CC}"/>
                </c:ext>
              </c:extLst>
            </c:dLbl>
            <c:dLbl>
              <c:idx val="1"/>
              <c:layout>
                <c:manualLayout>
                  <c:x val="3.031558230189003E-3"/>
                  <c:y val="-2.3815270794244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11-4594-B611-1070C63126C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'2015-2018'!$B$63:$B$65</c:f>
              <c:strCache>
                <c:ptCount val="3"/>
                <c:pt idx="0">
                  <c:v>Grants</c:v>
                </c:pt>
                <c:pt idx="1">
                  <c:v>Local contribution</c:v>
                </c:pt>
                <c:pt idx="2">
                  <c:v>Co-financing</c:v>
                </c:pt>
              </c:strCache>
            </c:strRef>
          </c:cat>
          <c:val>
            <c:numRef>
              <c:f>'2015-2018'!$C$63:$C$65</c:f>
              <c:numCache>
                <c:formatCode>0.0%</c:formatCode>
                <c:ptCount val="3"/>
                <c:pt idx="0">
                  <c:v>0.73699999999999999</c:v>
                </c:pt>
                <c:pt idx="1">
                  <c:v>0.245</c:v>
                </c:pt>
                <c:pt idx="2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11-4594-B611-1070C6312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Armeni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>
                <a:latin typeface="Times Armeni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>
                <a:latin typeface="Times Armenian" pitchFamily="18" charset="0"/>
              </a:defRPr>
            </a:pPr>
            <a:endParaRPr lang="en-US"/>
          </a:p>
        </c:txPr>
      </c:legendEntry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effectLst>
      <a:outerShdw blurRad="63500" sx="102000" sy="102000" algn="ctr" rotWithShape="0">
        <a:schemeClr val="accent3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3BBC-B295-4F4F-A86B-06B4A3C1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PR</cp:lastModifiedBy>
  <cp:revision>7</cp:revision>
  <dcterms:created xsi:type="dcterms:W3CDTF">2016-12-20T05:39:00Z</dcterms:created>
  <dcterms:modified xsi:type="dcterms:W3CDTF">2017-01-23T12:29:00Z</dcterms:modified>
</cp:coreProperties>
</file>